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pacing w:val="20"/>
          <w:sz w:val="34"/>
          <w:szCs w:val="34"/>
        </w:rPr>
        <w:t xml:space="preserve">DOT COMPLIANCE CHECKLIST</w:t>
      </w:r>
    </w:p>
    <w:p>
      <w:pPr>
        <w:pBdr>
          <w:bottom w:val="single" w:color="1A1A1A" w:sz="12" w:space="8"/>
        </w:pBdr>
        <w:spacing w:after="200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Motor carrier record systems  ·  49 CFR Parts 382, 387, 390, 391, 395, 396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6"/>
                <w:szCs w:val="16"/>
              </w:rPr>
              <w:t xml:space="preserve">Carrier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6"/>
                <w:szCs w:val="16"/>
              </w:rPr>
              <w:t xml:space="preserve">USDOT #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6"/>
                <w:szCs w:val="16"/>
              </w:rPr>
              <w:t xml:space="preserve">Reviewed by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/>
      </w:r>
    </w:p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1.  Driver Qualification File  ·  §391.51(b)</w:t>
      </w:r>
    </w:p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Complete one grid per driver. Retain for employment plus three years (§391.51(c)).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Required component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Date obtained / note</w:t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Employment application per §391.21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MVR from each state licensing authority, past 3 years §391.23(a)(1)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Road test certificate, accepted equivalent, or exemption statement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Annual MVR inquiry §391.25(a)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Annual review of driving record, note §391.25(c)(2)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Medical examiner's certificate; CDLIS record for CDL holders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SPE certificate or federal medical variance, if applicable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National Registry verification note for the examining ME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</w:tbl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Purgeable three years after execution under §391.51(d): annual MVRs, annual review notes, medical certificates, variances, registry notes.</w:t>
      </w:r>
    </w:p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2.  Safety Performance History Investigation  §391.23</w:t>
      </w:r>
    </w:p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Both investigations due within 30 days of hire. One row per previous DOT-regulated employer, preceding 3 years.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Previous employer</w:t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Sent</w:t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Attempts (date / channel)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Disposition</w:t>
            </w:r>
          </w:p>
        </w:tc>
      </w:tr>
      <w:t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3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3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Disposition must be terminal: responded  ·  no record returned  ·  refused  ·  defunct  ·  non-responsive after documented good-faith effort.</w:t>
      </w:r>
    </w:p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3.  Drug &amp; Alcohol Program  ·  49 CFR Part 382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Program requirement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Status / date</w:t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Written policy distributed to every driver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Designated employer representative named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Supervisor reasonable-suspicion training documented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Consortium / TPA agreement or in-house program in place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Pre-employment test before first safety-sensitive dispatch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Random selections spread across the year — 50% drugs / 10% alcohol (2026)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Clearinghouse obligation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Type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Due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Done</w:t>
            </w:r>
          </w:p>
        </w:tc>
      </w:tr>
      <w:tr>
        <w:tc>
          <w:tcPr>
            <w:tcW w:type="pct" w:w="4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Pre-employment query, before any safety-sensitive function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Full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Pre-hire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Annual query, every current CDL driver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Limited OK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Annually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Escalation after a limited-query hit — §382.701(b)(3)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Full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24 hours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Report violations, refusals, actual knowledge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Report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3 business days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</w:tbl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Full queries require the driver's electronic consent inside the Clearinghouse. Missed annual queries are among the most common audit findings.</w:t>
      </w:r>
    </w:p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4.  Hours of Service  ·  49 CFR Part 395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Item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Retention / note</w:t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Records of duty status on file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>6 months §395.8(k)</w:t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Supporting documents retained and reconcilable to RODS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>6 months</w:t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ELD appears on the FMCSA registered device list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Driver ELD training documented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pct" w:w="6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   Malfunction and edit procedure in use</w:t>
            </w:r>
          </w:p>
        </w:tc>
        <w:tc>
          <w:tcPr>
            <w:tcW w:type="pct" w:w="3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6B6B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5.  Vehicle Maintenance &amp; Inspection  ·  49 CFR Part 396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Record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Citation</w:t>
            </w:r>
          </w:p>
        </w:tc>
        <w:tc>
          <w:tcPr>
            <w:tcW w:type="pct" w:w="2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Retention</w:t>
            </w:r>
          </w:p>
        </w:tc>
        <w:tc>
          <w:tcPr>
            <w:tcW w:type="pct" w:w="1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Done</w:t>
            </w:r>
          </w:p>
        </w:tc>
      </w:tr>
      <w:tr>
        <w:tc>
          <w:tcPr>
            <w:tcW w:type="pct" w:w="4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Maintenance and repair records, per vehicle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§396.3(b)</w:t>
            </w:r>
          </w:p>
        </w:tc>
        <w:tc>
          <w:tcPr>
            <w:tcW w:type="pct" w:w="2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1 yr + 6 mo after disposal</w:t>
            </w:r>
          </w:p>
        </w:tc>
        <w:tc>
          <w:tcPr>
            <w:tcW w:type="pct" w:w="1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Driver vehicle inspection reports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§396.11</w:t>
            </w:r>
          </w:p>
        </w:tc>
        <w:tc>
          <w:tcPr>
            <w:tcW w:type="pct" w:w="2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3 months</w:t>
            </w:r>
          </w:p>
        </w:tc>
        <w:tc>
          <w:tcPr>
            <w:tcW w:type="pct" w:w="1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Annual inspection report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§396.17, §396.21</w:t>
            </w:r>
          </w:p>
        </w:tc>
        <w:tc>
          <w:tcPr>
            <w:tcW w:type="pct" w:w="2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14 months</w:t>
            </w:r>
          </w:p>
        </w:tc>
        <w:tc>
          <w:tcPr>
            <w:tcW w:type="pct" w:w="1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pct" w:w="4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Inspector qualification on file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§396.19</w:t>
            </w:r>
          </w:p>
        </w:tc>
        <w:tc>
          <w:tcPr>
            <w:tcW w:type="pct" w:w="2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Current</w:t>
            </w:r>
          </w:p>
        </w:tc>
        <w:tc>
          <w:tcPr>
            <w:tcW w:type="pct" w:w="15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</w:t>
            </w:r>
          </w:p>
        </w:tc>
      </w:tr>
    </w:tbl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Cross-check: every DVIR noting a defect must have a matching repair record. A defect reported and uncorrected is a §396.11(a)(3) violation.</w:t>
      </w:r>
    </w:p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6.  Accident Register  ·  §390.15(b)</w:t>
      </w:r>
    </w:p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Retain three years from the date of each accident. Use the §390.5 definition — fatality, injury treated away from the scene, or a vehicle disabled and towed.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Date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City / State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Driver</w:t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Inj.</w:t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Fat.</w:t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HM released</w:t>
            </w:r>
          </w:p>
        </w:tc>
      </w:tr>
      <w:tr>
        <w:tc>
          <w:tcPr>
            <w:tcW w:type="pct" w:w="1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1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pct" w:w="1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8D4CC" w:sz="4" w:space="6"/>
        </w:pBdr>
        <w:spacing w:after="110" w:before="260"/>
      </w:pPr>
      <w:r>
        <w:rPr>
          <w:rFonts w:ascii="Calibri" w:cs="Calibri" w:eastAsia="Calibri" w:hAnsi="Calibri"/>
          <w:b/>
          <w:bCs/>
          <w:caps/>
          <w:color w:val="1A1A1A"/>
          <w:spacing w:val="40"/>
          <w:sz w:val="22"/>
          <w:szCs w:val="22"/>
        </w:rPr>
        <w:t xml:space="preserve">7.  Operating Authority &amp; Insurance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Item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Citation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Status</w:t>
            </w:r>
          </w:p>
        </w:tc>
      </w:tr>
      <w:t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   USDOT number active, authority matches what you haul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Part 390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   Insurance on file at or above minimum for cargo class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§387.7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   MCS-150 updated biennially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§390.19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   UCR registration current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—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52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☐   Process agent designated</w:t>
            </w:r>
          </w:p>
        </w:tc>
        <w:tc>
          <w:tcPr>
            <w:tcW w:type="pct" w:w="2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—</w:t>
            </w:r>
          </w:p>
        </w:tc>
        <w:tc>
          <w:tcPr>
            <w:tcW w:type="pct" w:w="28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pageBreakBefore/>
        <w:spacing w:after="40"/>
      </w:pPr>
      <w:r>
        <w:rPr>
          <w:rFonts w:ascii="Calibri" w:cs="Calibri" w:eastAsia="Calibri" w:hAnsi="Calibri"/>
          <w:b/>
          <w:bCs/>
          <w:color w:val="1A1A1A"/>
          <w:spacing w:val="20"/>
          <w:sz w:val="28"/>
          <w:szCs w:val="28"/>
        </w:rPr>
        <w:t xml:space="preserve">PRE-AUDIT SWEEP</w:t>
      </w:r>
    </w:p>
    <w:p>
      <w:pPr>
        <w:pBdr>
          <w:bottom w:val="single" w:color="1A1A1A" w:sz="12" w:space="8"/>
        </w:pBdr>
        <w:spacing w:after="160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The sixteen automatic failures  ·  49 CFR §385.321</w:t>
      </w:r>
    </w:p>
    <w:p>
      <w:pPr>
        <w:spacing w:after="180" w:before="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Each of the following fails a new entrant safety audit on its own, regardless of the rest of the operation. Confirm all sixteen are clear before a scheduled audit.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Clear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Citation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shd w:fill="F2EFE9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aps/>
                <w:color w:val="6B6B6B"/>
                <w:spacing w:val="30"/>
                <w:sz w:val="17"/>
                <w:szCs w:val="17"/>
              </w:rPr>
              <w:t xml:space="preserve">Violation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§382.115(a)/(b)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No alcohol or controlled substances testing program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§382.201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Using a driver with an alcohol concentration of 0.04 or greater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§382.211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Using a driver who refused a required test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§382.215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Using a driver with a positive controlled substances result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§382.305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No random testing program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§383.3(a), §383.23(a)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Knowingly using an unlicensed commercial driver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§383.37(b)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Allowing operation on a disqualified or invalid CDL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§383.51(a)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Knowingly permitting a disqualified driver to operate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§387.7(a)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Operating without required minimum financial responsibility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§387.31(a)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Operating a passenger vehicle without required coverage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§391.11(b)(4)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Using a physically unqualified driver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§391.15(a)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Knowingly using a disqualified driver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§395.8(a)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No driver duty status records — 51% threshold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§396.9(c)(2)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Operating a vehicle declared out of service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§396.11(a)(3)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Failing to correct reported defects before operation</w:t>
            </w:r>
          </w:p>
        </w:tc>
      </w:tr>
      <w:tr>
        <w:tc>
          <w:tcPr>
            <w:tcW w:type="pct" w:w="10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☐</w:t>
            </w:r>
          </w:p>
        </w:tc>
        <w:tc>
          <w:tcPr>
            <w:tcW w:type="pct" w:w="24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§396.17(a)</w:t>
            </w:r>
          </w:p>
        </w:tc>
        <w:tc>
          <w:tcPr>
            <w:tcW w:type="pct" w:w="66%"/>
            <w:tcBorders>
              <w:top w:val="single" w:color="D8D4CC" w:sz="4"/>
              <w:left w:val="none" w:color="FFFFFF" w:sz="0"/>
              <w:bottom w:val="single" w:color="D8D4CC" w:sz="4"/>
              <w:right w:val="none" w:color="FFFFFF" w:sz="0"/>
            </w:tcBorders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Using an uninspected commercial vehicle — 51% threshold</w:t>
            </w:r>
          </w:p>
        </w:tc>
      </w:tr>
    </w:tbl>
    <w:p>
      <w:pPr>
        <w:spacing w:after="140" w:before="60"/>
      </w:pPr>
      <w:r>
        <w:rPr>
          <w:rFonts w:ascii="Calibri" w:cs="Calibri" w:eastAsia="Calibri" w:hAnsi="Calibri"/>
          <w:i/>
          <w:iCs/>
          <w:color w:val="6B6B6B"/>
          <w:sz w:val="16"/>
          <w:szCs w:val="16"/>
        </w:rPr>
        <w:t xml:space="preserve">Note: an incomplete driver qualification file is not on this list. But §391.11(b)(4) and §391.15(a) are — and those are the conditions a complete DQ file exists to detect.</w:t>
      </w:r>
    </w:p>
    <w:p>
      <w:pPr>
        <w:pBdr>
          <w:top w:val="single" w:color="D8D4CC" w:sz="4" w:space="10"/>
        </w:pBdr>
        <w:spacing w:before="320"/>
      </w:pPr>
      <w:r>
        <w:rPr>
          <w:rFonts w:ascii="Calibri" w:cs="Calibri" w:eastAsia="Calibri" w:hAnsi="Calibri"/>
          <w:i/>
          <w:iCs/>
          <w:color w:val="6B6B6B"/>
          <w:sz w:val="15"/>
          <w:szCs w:val="15"/>
        </w:rPr>
        <w:t xml:space="preserve">Reflects the regulations as written in August 2026. Confirm against the current CFR before relying on any retention period. This checklist is not legal advice.</w:t>
      </w:r>
    </w:p>
    <w:p>
      <w:pPr>
        <w:spacing w:before="120"/>
      </w:pPr>
      <w:r>
        <w:rPr>
          <w:rFonts w:ascii="Calibri" w:cs="Calibri" w:eastAsia="Calibri" w:hAnsi="Calibri"/>
          <w:color w:val="6B6B6B"/>
          <w:sz w:val="16"/>
          <w:szCs w:val="16"/>
        </w:rPr>
        <w:t xml:space="preserve">superunit.com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Compliance Checklist</dc:title>
  <dc:creator>Superunit</dc:creator>
  <dc:description>Motor carrier DOT compliance checklist across six record systems, with the sixteen automatic-failure pre-audit sweep.</dc:description>
  <cp:lastModifiedBy>Un-named</cp:lastModifiedBy>
  <cp:revision>1</cp:revision>
  <dcterms:created xsi:type="dcterms:W3CDTF">2026-08-14T23:25:54.430Z</dcterms:created>
  <dcterms:modified xsi:type="dcterms:W3CDTF">2026-08-14T23:25:54.437Z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